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6B" w:rsidRDefault="00C13C6B" w:rsidP="00C13C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ТИПЫ УРОКА</w:t>
      </w:r>
    </w:p>
    <w:p w:rsidR="00C13C6B" w:rsidRDefault="00C13C6B" w:rsidP="00C1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3C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3A5B2856" wp14:editId="3B6CA9FC">
            <wp:extent cx="2049846" cy="2066750"/>
            <wp:effectExtent l="0" t="0" r="7620" b="0"/>
            <wp:docPr id="21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Объект 7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439" cy="207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C6B">
        <w:rPr>
          <w:noProof/>
          <w:lang w:eastAsia="ru-RU"/>
        </w:rPr>
        <w:t xml:space="preserve"> </w:t>
      </w:r>
      <w:r w:rsidRPr="00C13C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13FA9030" wp14:editId="0033135C">
            <wp:extent cx="1911803" cy="19431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65" cy="19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13C6B">
        <w:rPr>
          <w:noProof/>
          <w:lang w:eastAsia="ru-RU"/>
        </w:rPr>
        <w:t xml:space="preserve"> </w:t>
      </w:r>
      <w:r w:rsidRPr="00C13C6B">
        <w:rPr>
          <w:noProof/>
          <w:lang w:eastAsia="ru-RU"/>
        </w:rPr>
        <w:drawing>
          <wp:inline distT="0" distB="0" distL="0" distR="0" wp14:anchorId="7156C232" wp14:editId="404651C3">
            <wp:extent cx="1905179" cy="1923415"/>
            <wp:effectExtent l="0" t="0" r="0" b="635"/>
            <wp:docPr id="2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Объект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98" cy="192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3C6B" w:rsidRDefault="00C13C6B" w:rsidP="00C13C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3C6B" w:rsidRDefault="00C13C6B" w:rsidP="00C1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3C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4E5AC6E9" wp14:editId="57891F42">
            <wp:extent cx="1981200" cy="1981200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89" cy="19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r w:rsidRPr="00C13C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31727386" wp14:editId="0EC69E25">
            <wp:extent cx="1834488" cy="1834488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88" cy="183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C13C6B">
        <w:rPr>
          <w:noProof/>
          <w:lang w:eastAsia="ru-RU"/>
        </w:rPr>
        <w:t xml:space="preserve"> </w:t>
      </w:r>
      <w:r w:rsidRPr="00C13C6B">
        <w:rPr>
          <w:noProof/>
          <w:lang w:eastAsia="ru-RU"/>
        </w:rPr>
        <w:drawing>
          <wp:inline distT="0" distB="0" distL="0" distR="0" wp14:anchorId="1DDCC0F2" wp14:editId="6F87E7A2">
            <wp:extent cx="2076450" cy="2116254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059" cy="212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6B" w:rsidRPr="00853059" w:rsidRDefault="00C13C6B" w:rsidP="00C13C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карточками «Тип урока»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выбор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6 карточек «Тип урока», связан с предыдущим шагом, по определению планируемых результатов </w:t>
      </w:r>
      <w:r w:rsidRPr="0085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 В соответствии с тем, из какой группы подбирался шаблон цели урока обозначается и конкретный тип урока, характеризующий проектируемое занятие.</w:t>
      </w:r>
    </w:p>
    <w:p w:rsidR="00C13C6B" w:rsidRDefault="00C13C6B" w:rsidP="00C13C6B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методике существует немало классификаций типов урока, которые учитывают разные аспекты.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данного конструктора за основу взята</w:t>
      </w:r>
      <w:r w:rsidRPr="00853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классификация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типов уроков</w:t>
      </w:r>
      <w:r w:rsidRPr="00853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предложенная Б. Есиповым, который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различал типы уроков по доминанте дидактической</w:t>
      </w:r>
      <w:r w:rsidRPr="00853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урока. </w:t>
      </w:r>
      <w:r w:rsidRPr="0076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типа урока определяется так же местом изучаемой темы в логике и в структуре содержания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C6B" w:rsidRPr="007642DB" w:rsidRDefault="00C13C6B" w:rsidP="00C13C6B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№1. Соответствие типа урока и приоритетных групп планируемых результатов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6"/>
        <w:gridCol w:w="4949"/>
      </w:tblGrid>
      <w:tr w:rsidR="00C13C6B" w:rsidTr="00A14514">
        <w:tc>
          <w:tcPr>
            <w:tcW w:w="4396" w:type="dxa"/>
          </w:tcPr>
          <w:p w:rsidR="00C13C6B" w:rsidRPr="00F86234" w:rsidRDefault="00C13C6B" w:rsidP="00A145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62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4949" w:type="dxa"/>
          </w:tcPr>
          <w:p w:rsidR="00C13C6B" w:rsidRPr="00583489" w:rsidRDefault="00C13C6B" w:rsidP="00A145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планируемых результатов урока (см. цель урока)</w:t>
            </w:r>
          </w:p>
        </w:tc>
      </w:tr>
      <w:tr w:rsidR="00C13C6B" w:rsidTr="00A14514">
        <w:tc>
          <w:tcPr>
            <w:tcW w:w="4396" w:type="dxa"/>
          </w:tcPr>
          <w:p w:rsidR="00C13C6B" w:rsidRDefault="00C13C6B" w:rsidP="00A1451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4949" w:type="dxa"/>
          </w:tcPr>
          <w:p w:rsidR="00C13C6B" w:rsidRPr="00583489" w:rsidRDefault="00C13C6B" w:rsidP="00A145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Представления, Ценностные отношения</w:t>
            </w:r>
          </w:p>
        </w:tc>
      </w:tr>
      <w:tr w:rsidR="00C13C6B" w:rsidTr="00A14514">
        <w:tc>
          <w:tcPr>
            <w:tcW w:w="4396" w:type="dxa"/>
          </w:tcPr>
          <w:p w:rsidR="00C13C6B" w:rsidRDefault="00C13C6B" w:rsidP="00A1451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формирования и развития умений и навыков</w:t>
            </w:r>
          </w:p>
        </w:tc>
        <w:tc>
          <w:tcPr>
            <w:tcW w:w="4949" w:type="dxa"/>
          </w:tcPr>
          <w:p w:rsidR="00C13C6B" w:rsidRPr="00583489" w:rsidRDefault="00C13C6B" w:rsidP="00A145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</w:tr>
      <w:tr w:rsidR="00C13C6B" w:rsidTr="00A14514">
        <w:tc>
          <w:tcPr>
            <w:tcW w:w="4396" w:type="dxa"/>
          </w:tcPr>
          <w:p w:rsidR="00C13C6B" w:rsidRDefault="00C13C6B" w:rsidP="00A1451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 комплексного применения знаний и умений</w:t>
            </w:r>
          </w:p>
        </w:tc>
        <w:tc>
          <w:tcPr>
            <w:tcW w:w="4949" w:type="dxa"/>
          </w:tcPr>
          <w:p w:rsidR="00C13C6B" w:rsidRPr="00583489" w:rsidRDefault="00C13C6B" w:rsidP="00A145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Ценностные отношения</w:t>
            </w:r>
          </w:p>
        </w:tc>
      </w:tr>
      <w:tr w:rsidR="00C13C6B" w:rsidTr="00A14514">
        <w:tc>
          <w:tcPr>
            <w:tcW w:w="4396" w:type="dxa"/>
          </w:tcPr>
          <w:p w:rsidR="00C13C6B" w:rsidRDefault="00C13C6B" w:rsidP="00A1451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4949" w:type="dxa"/>
          </w:tcPr>
          <w:p w:rsidR="00C13C6B" w:rsidRDefault="00C13C6B" w:rsidP="00A14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Проверка/обобщение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13C6B" w:rsidRPr="00583489" w:rsidRDefault="00C13C6B" w:rsidP="00A14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Ценностные отношения</w:t>
            </w:r>
          </w:p>
        </w:tc>
      </w:tr>
      <w:tr w:rsidR="00C13C6B" w:rsidTr="00A14514">
        <w:tc>
          <w:tcPr>
            <w:tcW w:w="4396" w:type="dxa"/>
          </w:tcPr>
          <w:p w:rsidR="00C13C6B" w:rsidRDefault="00C13C6B" w:rsidP="00A1451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и коррекции знаний, умений</w:t>
            </w:r>
          </w:p>
        </w:tc>
        <w:tc>
          <w:tcPr>
            <w:tcW w:w="4949" w:type="dxa"/>
          </w:tcPr>
          <w:p w:rsidR="00C13C6B" w:rsidRPr="00583489" w:rsidRDefault="00C13C6B" w:rsidP="00A14514">
            <w:pPr>
              <w:jc w:val="center"/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Проверка/обобщение</w:t>
            </w:r>
          </w:p>
        </w:tc>
      </w:tr>
      <w:tr w:rsidR="00C13C6B" w:rsidTr="00C13C6B">
        <w:trPr>
          <w:trHeight w:val="745"/>
        </w:trPr>
        <w:tc>
          <w:tcPr>
            <w:tcW w:w="4396" w:type="dxa"/>
          </w:tcPr>
          <w:p w:rsidR="00C13C6B" w:rsidRDefault="00C13C6B" w:rsidP="00A1451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949" w:type="dxa"/>
          </w:tcPr>
          <w:p w:rsidR="00C13C6B" w:rsidRPr="00583489" w:rsidRDefault="00C13C6B" w:rsidP="00A14514">
            <w:pPr>
              <w:jc w:val="center"/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Любая из 4-х групп планируемых результатов</w:t>
            </w:r>
          </w:p>
        </w:tc>
      </w:tr>
    </w:tbl>
    <w:p w:rsidR="00C13C6B" w:rsidRDefault="00C13C6B" w:rsidP="00C1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C13C6B" w:rsidRPr="00800D27" w:rsidRDefault="00C13C6B" w:rsidP="00C13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Урок усвоения новых знаний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00D2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D27">
        <w:rPr>
          <w:rFonts w:ascii="Times New Roman" w:hAnsi="Times New Roman" w:cs="Times New Roman"/>
          <w:color w:val="000000"/>
          <w:sz w:val="28"/>
          <w:szCs w:val="28"/>
        </w:rPr>
        <w:t>учебное занятие направлено на изучение нового материала, имеющего большой объем информации, требующей значительных затрат времени на обработку.</w:t>
      </w:r>
    </w:p>
    <w:p w:rsidR="00C13C6B" w:rsidRPr="00800D27" w:rsidRDefault="00C13C6B" w:rsidP="00C13C6B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такого урока основной акцент ставится на самостоятельном усвоении знаний учащимися под руководством учителя.</w:t>
      </w:r>
    </w:p>
    <w:p w:rsidR="00C13C6B" w:rsidRPr="00D74DBE" w:rsidRDefault="00C13C6B" w:rsidP="00C1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3C6B" w:rsidRPr="00800D27" w:rsidRDefault="00C13C6B" w:rsidP="00C13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Урок комплексного применения знаний и умений</w:t>
      </w:r>
      <w:r w:rsidRPr="008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00D27">
        <w:rPr>
          <w:rFonts w:ascii="Times New Roman" w:hAnsi="Times New Roman" w:cs="Times New Roman"/>
          <w:color w:val="000000"/>
          <w:sz w:val="28"/>
          <w:szCs w:val="28"/>
        </w:rPr>
        <w:t>данное занятие предполагает выполнение учащимися комплексных задач, охватывающих материал нескольких тем. </w:t>
      </w:r>
    </w:p>
    <w:p w:rsidR="00C13C6B" w:rsidRPr="00800D27" w:rsidRDefault="00C13C6B" w:rsidP="00C13C6B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hAnsi="Times New Roman" w:cs="Times New Roman"/>
          <w:color w:val="000000"/>
          <w:sz w:val="28"/>
          <w:szCs w:val="28"/>
        </w:rPr>
        <w:t>Ученики осмысливают и углубляют свои знания при выполнении упражнений, лабораторных или практических работ.</w:t>
      </w:r>
    </w:p>
    <w:p w:rsidR="00C13C6B" w:rsidRPr="00D74DBE" w:rsidRDefault="00C13C6B" w:rsidP="00C13C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3C6B" w:rsidRPr="00800D27" w:rsidRDefault="00C13C6B" w:rsidP="00C13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Урок формирования и развития умений и навыков</w:t>
      </w:r>
      <w:r w:rsidRPr="00800D27">
        <w:rPr>
          <w:rFonts w:ascii="Times New Roman" w:hAnsi="Times New Roman" w:cs="Times New Roman"/>
          <w:color w:val="000000"/>
          <w:sz w:val="28"/>
          <w:szCs w:val="28"/>
        </w:rPr>
        <w:t xml:space="preserve"> – на данном занятии идет формирование у учащихся учебных умений и навыков, их усовершенствование и закрепление на основе выполнения упражнений по использованию знаний в нестандартных ситуациях. </w:t>
      </w:r>
    </w:p>
    <w:p w:rsidR="00C13C6B" w:rsidRPr="00800D27" w:rsidRDefault="00C13C6B" w:rsidP="00C13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27">
        <w:rPr>
          <w:rFonts w:ascii="Times New Roman" w:hAnsi="Times New Roman" w:cs="Times New Roman"/>
          <w:color w:val="000000"/>
          <w:sz w:val="28"/>
          <w:szCs w:val="28"/>
        </w:rPr>
        <w:t>Урок может содержать элементы объяснения нового материала во время выполнения вступительных или пробных упражнений.</w:t>
      </w:r>
    </w:p>
    <w:p w:rsidR="00C13C6B" w:rsidRPr="00D74DBE" w:rsidRDefault="00C13C6B" w:rsidP="00C13C6B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3C6B" w:rsidRPr="00800D27" w:rsidRDefault="00C13C6B" w:rsidP="00C13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Урок систематизации и обобщения знаний и умений </w:t>
      </w:r>
      <w:r w:rsidRPr="008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данный тип занятий </w:t>
      </w:r>
      <w:r w:rsidRPr="00800D2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после изучения важных разделов программы для упорядочения усвоенных на предыдущих уроках теоретических положений в систему. </w:t>
      </w:r>
    </w:p>
    <w:p w:rsidR="00C13C6B" w:rsidRPr="00800D27" w:rsidRDefault="00C13C6B" w:rsidP="00C13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27">
        <w:rPr>
          <w:rFonts w:ascii="Times New Roman" w:hAnsi="Times New Roman" w:cs="Times New Roman"/>
          <w:color w:val="000000"/>
          <w:sz w:val="28"/>
          <w:szCs w:val="28"/>
        </w:rPr>
        <w:t>В итоге: систематизация наиболее существенных вопросов пройденного материала, преодоление пробелов в знаниях учащихся.</w:t>
      </w:r>
    </w:p>
    <w:p w:rsidR="00C13C6B" w:rsidRPr="00D74DBE" w:rsidRDefault="00C13C6B" w:rsidP="00C13C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3C6B" w:rsidRPr="00800D27" w:rsidRDefault="00C13C6B" w:rsidP="00C13C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Урок контроля и коррекции знаний, умений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00D2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800D27">
        <w:rPr>
          <w:rFonts w:ascii="Times New Roman" w:hAnsi="Times New Roman" w:cs="Times New Roman"/>
          <w:color w:val="000000"/>
          <w:sz w:val="28"/>
          <w:szCs w:val="28"/>
        </w:rPr>
        <w:t>проводится после изучения крупных разделов программы с тем, чтобы выявить уровень овладения учащимися комплексом знаний, умений и навыков. </w:t>
      </w:r>
    </w:p>
    <w:p w:rsidR="00C13C6B" w:rsidRPr="00800D27" w:rsidRDefault="00C13C6B" w:rsidP="00C13C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hAnsi="Times New Roman" w:cs="Times New Roman"/>
          <w:color w:val="000000"/>
          <w:sz w:val="28"/>
          <w:szCs w:val="28"/>
        </w:rPr>
        <w:t>На уроке также выясняются причины трудностей и пробелов в овладении учебным материалом.</w:t>
      </w:r>
    </w:p>
    <w:p w:rsidR="00C13C6B" w:rsidRPr="00D74DBE" w:rsidRDefault="00C13C6B" w:rsidP="00C1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C13C6B" w:rsidRPr="00800D27" w:rsidRDefault="00C13C6B" w:rsidP="00C13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Комбинированный урок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00D27"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структурных элементов уроков разных типов предполагает достижение двух или более дидактических целей. </w:t>
      </w:r>
    </w:p>
    <w:p w:rsidR="00C13C6B" w:rsidRDefault="00C13C6B" w:rsidP="00C13C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D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нового материала может происходить и в процессе актуализаций опорных знаний, органично сочетаться с закреплением изучаемого материала или с повторением ранее изученного.</w:t>
      </w:r>
    </w:p>
    <w:p w:rsidR="00F470C9" w:rsidRDefault="00F470C9"/>
    <w:sectPr w:rsidR="00F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6B"/>
    <w:rsid w:val="00C13C6B"/>
    <w:rsid w:val="00F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FD50"/>
  <w15:chartTrackingRefBased/>
  <w15:docId w15:val="{C1E31CD3-8579-4AA3-9B9E-1ABC5A48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6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6B"/>
    <w:pPr>
      <w:ind w:left="720"/>
      <w:contextualSpacing/>
    </w:pPr>
  </w:style>
  <w:style w:type="table" w:styleId="a4">
    <w:name w:val="Table Grid"/>
    <w:basedOn w:val="a1"/>
    <w:rsid w:val="00C13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2023-08-04T06:17:00Z</dcterms:created>
  <dcterms:modified xsi:type="dcterms:W3CDTF">2023-08-04T06:26:00Z</dcterms:modified>
</cp:coreProperties>
</file>